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IT-10: Reading Frame</w:t>
      </w:r>
    </w:p>
    <w:p w:rsidR="00000000" w:rsidDel="00000000" w:rsidP="00000000" w:rsidRDefault="00000000" w:rsidRPr="00000000" w14:paraId="00000002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</w:rPr>
        <w:drawing>
          <wp:inline distB="114300" distT="114300" distL="114300" distR="114300">
            <wp:extent cx="9563100" cy="553025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63100" cy="55302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2240" w:w="1584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